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42md 知识获取功能规格说明</w:t>
      </w:r>
    </w:p>
    <w:p>
      <w:pPr>
        <w:jc w:val="center"/>
      </w:pPr>
      <w:r>
        <w:rPr>
          <w:color w:val="6B7280"/>
        </w:rPr>
        <w:t>版本 v1.2 · 2026-05</w:t>
      </w:r>
    </w:p>
    <w:p>
      <w:pPr>
        <w:pStyle w:val="Heading1"/>
      </w:pPr>
      <w:r>
        <w:t>一、概述</w:t>
      </w:r>
    </w:p>
    <w:p>
      <w:r>
        <w:t>本规格说明 42md 知识获取模块的目标、能力边界与质量基线。该模块负责把多种来源的内容（文档、网页、音频、扫描件）转换为干净的 Markdown，作为后续编译/策展的统一输入。</w:t>
      </w:r>
    </w:p>
    <w:p>
      <w:pPr>
        <w:pStyle w:val="Heading1"/>
      </w:pPr>
      <w:r>
        <w:t>二、核心能力</w:t>
      </w:r>
    </w:p>
    <w:p>
      <w:pPr>
        <w:pStyle w:val="Heading2"/>
      </w:pPr>
      <w:r>
        <w:t>2.1 文档格式转换</w:t>
      </w:r>
    </w:p>
    <w:p>
      <w:r>
        <w:t>支持 PDF、Office（DOCX/XLSX/PPTX）、Apple iWork（Pages/Numbers/Keynote）、OFD、EPUB、MOBI、字幕（SRT/ASS/VTT）等 42+ 种输入格式。纯结构转换，无需 AI 配额。</w:t>
      </w:r>
    </w:p>
    <w:p>
      <w:pPr>
        <w:pStyle w:val="Heading2"/>
      </w:pPr>
      <w:r>
        <w:t>2.2 网页抓取</w:t>
      </w:r>
    </w:p>
    <w:p>
      <w:r>
        <w:t>单篇 URL 直接转 Markdown；整站抓取通过 RSS / Sitemap 自动发现页面；资源批量抓取覆盖站点上的 PDF、图片、电子书等附件。</w:t>
      </w:r>
    </w:p>
    <w:p>
      <w:pPr>
        <w:pStyle w:val="Heading2"/>
      </w:pPr>
      <w:r>
        <w:t>2.3 AI 识别与转录</w:t>
      </w:r>
    </w:p>
    <w:p>
      <w:r>
        <w:t>扫描件 PDF 与图片通过 VLM 模型识别（按千字计费）；音频文件支持 ASR 转录，4 小时讲座几分钟出稿。</w:t>
      </w:r>
    </w:p>
    <w:p>
      <w:pPr>
        <w:pStyle w:val="Heading1"/>
      </w:pPr>
      <w:r>
        <w:t>三、质量基线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维度</w:t>
            </w:r>
          </w:p>
        </w:tc>
        <w:tc>
          <w:tcPr>
            <w:tcW w:type="dxa" w:w="2880"/>
          </w:tcPr>
          <w:p>
            <w:r>
              <w:t>指标</w:t>
            </w:r>
          </w:p>
        </w:tc>
        <w:tc>
          <w:tcPr>
            <w:tcW w:type="dxa" w:w="2880"/>
          </w:tcPr>
          <w:p>
            <w:r>
              <w:t>基线</w:t>
            </w:r>
          </w:p>
        </w:tc>
      </w:tr>
      <w:tr>
        <w:tc>
          <w:tcPr>
            <w:tcW w:type="dxa" w:w="2880"/>
          </w:tcPr>
          <w:p>
            <w:r>
              <w:t>速度</w:t>
            </w:r>
          </w:p>
        </w:tc>
        <w:tc>
          <w:tcPr>
            <w:tcW w:type="dxa" w:w="2880"/>
          </w:tcPr>
          <w:p>
            <w:r>
              <w:t>单文件首屏耗时</w:t>
            </w:r>
          </w:p>
        </w:tc>
        <w:tc>
          <w:tcPr>
            <w:tcW w:type="dxa" w:w="2880"/>
          </w:tcPr>
          <w:p>
            <w:r>
              <w:t>≤ 2 秒（不含 AI）</w:t>
            </w:r>
          </w:p>
        </w:tc>
      </w:tr>
      <w:tr>
        <w:tc>
          <w:tcPr>
            <w:tcW w:type="dxa" w:w="2880"/>
          </w:tcPr>
          <w:p>
            <w:r>
              <w:t>保真</w:t>
            </w:r>
          </w:p>
        </w:tc>
        <w:tc>
          <w:tcPr>
            <w:tcW w:type="dxa" w:w="2880"/>
          </w:tcPr>
          <w:p>
            <w:r>
              <w:t>表格还原准确率</w:t>
            </w:r>
          </w:p>
        </w:tc>
        <w:tc>
          <w:tcPr>
            <w:tcW w:type="dxa" w:w="2880"/>
          </w:tcPr>
          <w:p>
            <w:r>
              <w:t>≥ 95%</w:t>
            </w:r>
          </w:p>
        </w:tc>
      </w:tr>
      <w:tr>
        <w:tc>
          <w:tcPr>
            <w:tcW w:type="dxa" w:w="2880"/>
          </w:tcPr>
          <w:p>
            <w:r>
              <w:t>保真</w:t>
            </w:r>
          </w:p>
        </w:tc>
        <w:tc>
          <w:tcPr>
            <w:tcW w:type="dxa" w:w="2880"/>
          </w:tcPr>
          <w:p>
            <w:r>
              <w:t>图片引用完整性</w:t>
            </w:r>
          </w:p>
        </w:tc>
        <w:tc>
          <w:tcPr>
            <w:tcW w:type="dxa" w:w="2880"/>
          </w:tcPr>
          <w:p>
            <w:r>
              <w:t>100%</w:t>
            </w:r>
          </w:p>
        </w:tc>
      </w:tr>
      <w:tr>
        <w:tc>
          <w:tcPr>
            <w:tcW w:type="dxa" w:w="2880"/>
          </w:tcPr>
          <w:p>
            <w:r>
              <w:t>成本</w:t>
            </w:r>
          </w:p>
        </w:tc>
        <w:tc>
          <w:tcPr>
            <w:tcW w:type="dxa" w:w="2880"/>
          </w:tcPr>
          <w:p>
            <w:r>
              <w:t>纯结构转换 AI 消耗</w:t>
            </w:r>
          </w:p>
        </w:tc>
        <w:tc>
          <w:tcPr>
            <w:tcW w:type="dxa" w:w="2880"/>
          </w:tcPr>
          <w:p>
            <w:r>
              <w:t>0 千字/份</w:t>
            </w:r>
          </w:p>
        </w:tc>
      </w:tr>
    </w:tbl>
    <w:p>
      <w:pPr>
        <w:pStyle w:val="Heading1"/>
      </w:pPr>
      <w:r>
        <w:t>四、配额规则</w:t>
      </w:r>
    </w:p>
    <w:p>
      <w:r>
        <w:t>纯结构转换永久免费；AI 识别（OCR / ASR / 翻译）按「千字编译配额」计费，调用前 Dialog 显式提示预估消耗 + 二次确认，失败不扣费。</w:t>
      </w:r>
    </w:p>
    <w:p>
      <w:pPr>
        <w:pStyle w:val="Heading1"/>
      </w:pPr>
      <w:r>
        <w:t>五、责任方</w:t>
      </w:r>
    </w:p>
    <w:p>
      <w:r>
        <w:t>产品：活水 AI 实验室</w:t>
        <w:br/>
        <w:t>技术：42md 核心团队</w:t>
        <w:br/>
        <w:t>联系：feedback@42md.cc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